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51B" w:rsidRDefault="003A451B" w:rsidP="003A451B">
      <w:pPr>
        <w:spacing w:before="120" w:after="120" w:line="360" w:lineRule="auto"/>
        <w:jc w:val="both"/>
        <w:rPr>
          <w:rFonts w:ascii="Arial" w:hAnsi="Arial" w:cs="Arial"/>
          <w:lang w:val="it-IT"/>
        </w:rPr>
      </w:pPr>
      <w:r>
        <w:rPr>
          <w:rFonts w:ascii="Times New Roman" w:hAnsi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5943600" cy="911208"/>
            <wp:effectExtent l="0" t="0" r="0" b="3810"/>
            <wp:docPr id="1" name="Picture 1" descr="antet_murgescu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murgescu_b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1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451B" w:rsidRPr="003A451B" w:rsidRDefault="003A451B" w:rsidP="003A451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Nr.</w:t>
      </w:r>
      <w:r>
        <w:rPr>
          <w:rFonts w:ascii="Times New Roman" w:hAnsi="Times New Roman"/>
          <w:sz w:val="24"/>
          <w:szCs w:val="24"/>
          <w:lang w:val="it-IT"/>
        </w:rPr>
        <w:t>105934/23.05.2016</w:t>
      </w:r>
    </w:p>
    <w:p w:rsidR="003A451B" w:rsidRPr="003A451B" w:rsidRDefault="003A451B" w:rsidP="003A451B">
      <w:pPr>
        <w:pStyle w:val="ListParagraph"/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51B" w:rsidRPr="003A451B" w:rsidRDefault="003A451B" w:rsidP="003A451B">
      <w:pPr>
        <w:pStyle w:val="ListParagraph"/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lang w:val="it-IT"/>
        </w:rPr>
      </w:pPr>
      <w:r w:rsidRPr="003A451B">
        <w:rPr>
          <w:rFonts w:ascii="Times New Roman" w:hAnsi="Times New Roman"/>
          <w:b/>
          <w:sz w:val="24"/>
          <w:szCs w:val="24"/>
          <w:lang w:val="it-IT"/>
        </w:rPr>
        <w:t xml:space="preserve">Clarificari </w:t>
      </w:r>
      <w:bookmarkStart w:id="0" w:name="_GoBack"/>
      <w:bookmarkEnd w:id="0"/>
      <w:r w:rsidRPr="003A451B">
        <w:rPr>
          <w:rFonts w:ascii="Times New Roman" w:hAnsi="Times New Roman"/>
          <w:b/>
          <w:sz w:val="24"/>
          <w:szCs w:val="24"/>
          <w:lang w:val="it-IT"/>
        </w:rPr>
        <w:t>privind serviciile bancare</w:t>
      </w:r>
    </w:p>
    <w:p w:rsidR="003A451B" w:rsidRPr="003A451B" w:rsidRDefault="003A451B" w:rsidP="003A451B">
      <w:pPr>
        <w:pStyle w:val="ListParagraph"/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3A451B" w:rsidRPr="003A451B" w:rsidRDefault="003A451B" w:rsidP="003A451B">
      <w:pPr>
        <w:pStyle w:val="ListParagraph"/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C23ACA" w:rsidRPr="003A451B" w:rsidRDefault="00C23ACA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Numar de POS-uri : 4</w:t>
      </w:r>
    </w:p>
    <w:p w:rsidR="00C23ACA" w:rsidRPr="003A451B" w:rsidRDefault="00C23ACA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bCs/>
          <w:sz w:val="24"/>
          <w:szCs w:val="24"/>
        </w:rPr>
        <w:t>Direcţia Venituri Buget Local Sector 2 detine un numar de 2 i</w:t>
      </w:r>
      <w:r w:rsidRPr="003A451B">
        <w:rPr>
          <w:rFonts w:ascii="Times New Roman" w:hAnsi="Times New Roman"/>
          <w:sz w:val="24"/>
          <w:szCs w:val="24"/>
          <w:lang w:val="it-IT"/>
        </w:rPr>
        <w:t>nfokioskuri.</w:t>
      </w:r>
    </w:p>
    <w:p w:rsidR="00C23ACA" w:rsidRPr="003A451B" w:rsidRDefault="003A451B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Oferta va fi detaliata pentru fiecare dintre cele 4 servicii solicitate</w:t>
      </w:r>
    </w:p>
    <w:p w:rsidR="003A451B" w:rsidRPr="003A451B" w:rsidRDefault="003A451B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Se va utiliza contractul prezentat, completat ulterior incheierii procedurii cu datele specifice castigatorilor</w:t>
      </w:r>
    </w:p>
    <w:p w:rsidR="005D12C0" w:rsidRPr="003A451B" w:rsidRDefault="005D12C0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Prestator trebuie să transfere în fiecare zi lucrătoare la Trezoreria Statului Sector 2 (</w:t>
      </w:r>
      <w:r w:rsidRPr="003A451B">
        <w:rPr>
          <w:rFonts w:ascii="Times New Roman" w:hAnsi="Times New Roman"/>
          <w:bCs/>
          <w:sz w:val="24"/>
          <w:szCs w:val="24"/>
        </w:rPr>
        <w:t xml:space="preserve">fără intervenţia D. V. B. L. Sector 2), </w:t>
      </w:r>
      <w:r w:rsidRPr="003A451B">
        <w:rPr>
          <w:rFonts w:ascii="Times New Roman" w:hAnsi="Times New Roman"/>
          <w:sz w:val="24"/>
          <w:szCs w:val="24"/>
          <w:lang w:val="it-IT"/>
        </w:rPr>
        <w:t xml:space="preserve">soldurile conturilor tranzitorii (colectoare) deschise pentru </w:t>
      </w:r>
      <w:r w:rsidRPr="003A451B">
        <w:rPr>
          <w:rFonts w:ascii="Times New Roman" w:hAnsi="Times New Roman"/>
          <w:bCs/>
          <w:sz w:val="24"/>
          <w:szCs w:val="24"/>
        </w:rPr>
        <w:t>Direcţia Venituri Buget Local Sector 2.</w:t>
      </w:r>
    </w:p>
    <w:p w:rsidR="002E33E0" w:rsidRPr="003A451B" w:rsidRDefault="002E33E0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b/>
          <w:sz w:val="24"/>
          <w:szCs w:val="24"/>
        </w:rPr>
        <w:t>Pentru sumele incasate prin intermediul terminalelor POS asistate si neasistate (Infokioskurile)</w:t>
      </w:r>
      <w:r w:rsidR="005D12C0" w:rsidRPr="003A451B">
        <w:rPr>
          <w:rFonts w:ascii="Times New Roman" w:hAnsi="Times New Roman"/>
          <w:b/>
          <w:sz w:val="24"/>
          <w:szCs w:val="24"/>
        </w:rPr>
        <w:t xml:space="preserve"> precum si prin sistemul de plata electronica propriu </w:t>
      </w:r>
      <w:r w:rsidR="005D12C0" w:rsidRPr="003A451B">
        <w:rPr>
          <w:rFonts w:ascii="Times New Roman" w:hAnsi="Times New Roman"/>
          <w:sz w:val="24"/>
          <w:szCs w:val="24"/>
        </w:rPr>
        <w:t>(site-ul www.impozitelocale2.ro)</w:t>
      </w:r>
      <w:r w:rsidR="005D12C0" w:rsidRPr="003A451B">
        <w:rPr>
          <w:rFonts w:ascii="Times New Roman" w:hAnsi="Times New Roman"/>
          <w:b/>
          <w:sz w:val="24"/>
          <w:szCs w:val="24"/>
        </w:rPr>
        <w:t>.</w:t>
      </w:r>
    </w:p>
    <w:p w:rsidR="002E33E0" w:rsidRPr="003A451B" w:rsidRDefault="002E33E0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Prestator trebuie să transfere în fiecare zi lucrătoare la Trezoreria Statului Sector 2</w:t>
      </w:r>
      <w:r w:rsidRPr="003A451B">
        <w:rPr>
          <w:rFonts w:ascii="Times New Roman" w:hAnsi="Times New Roman"/>
          <w:bCs/>
          <w:sz w:val="24"/>
          <w:szCs w:val="24"/>
        </w:rPr>
        <w:t xml:space="preserve">, </w:t>
      </w:r>
      <w:r w:rsidRPr="003A451B">
        <w:rPr>
          <w:rFonts w:ascii="Times New Roman" w:hAnsi="Times New Roman"/>
          <w:sz w:val="24"/>
          <w:szCs w:val="24"/>
          <w:lang w:val="it-IT"/>
        </w:rPr>
        <w:t xml:space="preserve">soldurile conturilor tranzitorii (colectoare) deschise pentru </w:t>
      </w:r>
      <w:r w:rsidRPr="003A451B">
        <w:rPr>
          <w:rFonts w:ascii="Times New Roman" w:hAnsi="Times New Roman"/>
          <w:bCs/>
          <w:sz w:val="24"/>
          <w:szCs w:val="24"/>
        </w:rPr>
        <w:t>Direcţia Venituri Buget Local Sector 2,  în următoarelele conturi:</w:t>
      </w:r>
    </w:p>
    <w:p w:rsidR="002E33E0" w:rsidRPr="003A451B" w:rsidRDefault="002E33E0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b/>
          <w:sz w:val="24"/>
          <w:szCs w:val="24"/>
          <w:lang w:val="it-IT"/>
        </w:rPr>
        <w:t>Pentru sumele aferente impozitelor PF</w:t>
      </w:r>
      <w:r w:rsidRPr="003A451B">
        <w:rPr>
          <w:rFonts w:ascii="Times New Roman" w:hAnsi="Times New Roman"/>
          <w:sz w:val="24"/>
          <w:szCs w:val="24"/>
          <w:lang w:val="it-IT"/>
        </w:rPr>
        <w:t>: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Impozit clădiri PF – IBAN :</w:t>
      </w:r>
      <w:r w:rsidRPr="003A451B">
        <w:rPr>
          <w:rFonts w:ascii="Times New Roman" w:hAnsi="Times New Roman"/>
          <w:sz w:val="24"/>
          <w:szCs w:val="24"/>
        </w:rPr>
        <w:t xml:space="preserve"> RO49TREZ7022107020101XXX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Impozit teren PF – IBAN :</w:t>
      </w:r>
      <w:r w:rsidRPr="003A451B">
        <w:rPr>
          <w:rFonts w:ascii="Times New Roman" w:hAnsi="Times New Roman"/>
          <w:sz w:val="24"/>
          <w:szCs w:val="24"/>
        </w:rPr>
        <w:t xml:space="preserve"> RO93TREZ7022107020201XXX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Impozit Auto PF – IBAN :</w:t>
      </w:r>
      <w:r w:rsidRPr="003A451B">
        <w:rPr>
          <w:rFonts w:ascii="Times New Roman" w:hAnsi="Times New Roman"/>
          <w:sz w:val="24"/>
          <w:szCs w:val="24"/>
        </w:rPr>
        <w:t xml:space="preserve"> RO68TREZ7022116020201XXX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Amenzi contravenţionale – IBAN :</w:t>
      </w:r>
      <w:r w:rsidRPr="003A451B">
        <w:rPr>
          <w:rFonts w:ascii="Times New Roman" w:hAnsi="Times New Roman"/>
          <w:sz w:val="24"/>
          <w:szCs w:val="24"/>
        </w:rPr>
        <w:t xml:space="preserve"> RO70TREZ70221A350102XXXX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Taxă Afişaj Domeniul public – IBAN :</w:t>
      </w:r>
      <w:r w:rsidRPr="003A451B">
        <w:rPr>
          <w:rFonts w:ascii="Times New Roman" w:hAnsi="Times New Roman"/>
          <w:sz w:val="24"/>
          <w:szCs w:val="24"/>
        </w:rPr>
        <w:t xml:space="preserve"> RO70TREZ70221180250XXXXX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Impozit Auto 12 Tone – IBAN :</w:t>
      </w:r>
      <w:r w:rsidRPr="003A451B">
        <w:rPr>
          <w:rFonts w:ascii="Times New Roman" w:hAnsi="Times New Roman"/>
          <w:sz w:val="24"/>
          <w:szCs w:val="24"/>
        </w:rPr>
        <w:t xml:space="preserve"> RO38TREZ7025033XXX000284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Cheltuieli executare silită – IBAN :</w:t>
      </w:r>
      <w:r w:rsidRPr="003A451B">
        <w:rPr>
          <w:rFonts w:ascii="Times New Roman" w:hAnsi="Times New Roman"/>
          <w:sz w:val="24"/>
          <w:szCs w:val="24"/>
        </w:rPr>
        <w:t xml:space="preserve"> RO17TREZ70221360250XXXXX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Taxă extrajudiciară – IBAN :</w:t>
      </w:r>
      <w:r w:rsidRPr="003A451B">
        <w:rPr>
          <w:rFonts w:ascii="Times New Roman" w:hAnsi="Times New Roman"/>
          <w:sz w:val="24"/>
          <w:szCs w:val="24"/>
        </w:rPr>
        <w:t xml:space="preserve"> RO35TREZ70221340202XXXXX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Taxă judiciară de Timbru – IBAN :</w:t>
      </w:r>
      <w:r w:rsidRPr="003A451B">
        <w:rPr>
          <w:rFonts w:ascii="Times New Roman" w:hAnsi="Times New Roman"/>
          <w:sz w:val="24"/>
          <w:szCs w:val="24"/>
        </w:rPr>
        <w:t xml:space="preserve"> RO04TREZ70221070203XXXXX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Licenţe Vize, Alte taxe – IBAN :</w:t>
      </w:r>
      <w:r w:rsidRPr="003A451B">
        <w:rPr>
          <w:rFonts w:ascii="Times New Roman" w:hAnsi="Times New Roman"/>
          <w:sz w:val="24"/>
          <w:szCs w:val="24"/>
        </w:rPr>
        <w:t xml:space="preserve"> RO26TREZ70221160203XXXXX</w:t>
      </w:r>
    </w:p>
    <w:p w:rsidR="002E33E0" w:rsidRPr="003A451B" w:rsidRDefault="002E33E0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b/>
          <w:sz w:val="24"/>
          <w:szCs w:val="24"/>
          <w:lang w:val="it-IT"/>
        </w:rPr>
        <w:t>Pentru sumele aferente impozitelor PJ</w:t>
      </w:r>
      <w:r w:rsidRPr="003A451B">
        <w:rPr>
          <w:rFonts w:ascii="Times New Roman" w:hAnsi="Times New Roman"/>
          <w:sz w:val="24"/>
          <w:szCs w:val="24"/>
          <w:lang w:val="it-IT"/>
        </w:rPr>
        <w:t>: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t>Impozit clădiri PJ     - IBAN : RO96TREZ7022107020102XXX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t>Impozit teren  PJ – IBAN: RO43TREZ7022107020202XXX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t>Impozit auto PJ   -    IBAN: RO18TREZ7022116020202XXX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lastRenderedPageBreak/>
        <w:t>Amenzi de circulaţie - IBAN: RO70TREZ70221A350102XXXX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t>Reclamă /Garaj /D. Public - IBAN: RO70TREZ70221180250XXXXX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t>Impozit spectacole - IBAN : RO29TREZ70221150201XXXXX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t>Impozit auto 12 tone- IBAN: RO38TREZ7025033XXX000284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t>Taxa 3% publicitate - IBAN : RO81TREZ7025083XXX004867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 xml:space="preserve">Cheltuieli executare silită </w:t>
      </w:r>
      <w:r w:rsidRPr="003A451B">
        <w:rPr>
          <w:rFonts w:ascii="Times New Roman" w:hAnsi="Times New Roman"/>
          <w:sz w:val="24"/>
          <w:szCs w:val="24"/>
        </w:rPr>
        <w:t>- IBAN: RO17TREZ70221360250XXXXX</w:t>
      </w:r>
    </w:p>
    <w:p w:rsidR="002E33E0" w:rsidRPr="003A451B" w:rsidRDefault="002E33E0" w:rsidP="003A451B">
      <w:pPr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 xml:space="preserve">Taxă judiciară de Timbru </w:t>
      </w:r>
      <w:r w:rsidRPr="003A451B">
        <w:rPr>
          <w:rFonts w:ascii="Times New Roman" w:hAnsi="Times New Roman"/>
          <w:sz w:val="24"/>
          <w:szCs w:val="24"/>
        </w:rPr>
        <w:t>- IBAN: RO04TREZ70221070203XXXXX</w:t>
      </w:r>
    </w:p>
    <w:p w:rsidR="002E33E0" w:rsidRPr="003A451B" w:rsidRDefault="002E33E0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b/>
          <w:sz w:val="24"/>
          <w:szCs w:val="24"/>
        </w:rPr>
        <w:t>Terminalelor POS asistate</w:t>
      </w:r>
      <w:r w:rsidRPr="003A451B">
        <w:rPr>
          <w:rFonts w:ascii="Times New Roman" w:hAnsi="Times New Roman"/>
          <w:sz w:val="24"/>
          <w:szCs w:val="24"/>
        </w:rPr>
        <w:t xml:space="preserve"> să permită incasarea pe tipurile de impozite şi taxe prezentate mai sus, astfel incât să se cunoască la sfârsitul zilei bancare soldul ce urmează să fie transferat de </w:t>
      </w:r>
      <w:r w:rsidR="00F23D6B" w:rsidRPr="003A451B">
        <w:rPr>
          <w:rFonts w:ascii="Times New Roman" w:hAnsi="Times New Roman"/>
          <w:sz w:val="24"/>
          <w:szCs w:val="24"/>
        </w:rPr>
        <w:t>P</w:t>
      </w:r>
      <w:r w:rsidRPr="003A451B">
        <w:rPr>
          <w:rFonts w:ascii="Times New Roman" w:hAnsi="Times New Roman"/>
          <w:sz w:val="24"/>
          <w:szCs w:val="24"/>
        </w:rPr>
        <w:t>restator in conturile IBAN aferente fiecarui tip de impozit şi taxă.</w:t>
      </w:r>
    </w:p>
    <w:p w:rsidR="005D12C0" w:rsidRPr="003A451B" w:rsidRDefault="005D12C0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sz w:val="24"/>
          <w:szCs w:val="24"/>
        </w:rPr>
        <w:t xml:space="preserve">Pentru </w:t>
      </w:r>
      <w:r w:rsidRPr="003A451B">
        <w:rPr>
          <w:rFonts w:ascii="Times New Roman" w:hAnsi="Times New Roman"/>
          <w:b/>
          <w:sz w:val="24"/>
          <w:szCs w:val="24"/>
        </w:rPr>
        <w:t>sistemul de plata electronica propriu (site-ul www.impozitelocale2.ro),</w:t>
      </w:r>
      <w:r w:rsidRPr="003A451B">
        <w:rPr>
          <w:rFonts w:ascii="Times New Roman" w:hAnsi="Times New Roman"/>
          <w:sz w:val="24"/>
          <w:szCs w:val="24"/>
        </w:rPr>
        <w:t xml:space="preserve"> Autoritatea Contractanta stabileste cu Prestatorul o modalitate prin care Prestatorul va primi un fisier centralizator din aplica</w:t>
      </w:r>
      <w:r w:rsidR="00F23D6B" w:rsidRPr="003A451B">
        <w:rPr>
          <w:rFonts w:ascii="Times New Roman" w:hAnsi="Times New Roman"/>
          <w:sz w:val="24"/>
          <w:szCs w:val="24"/>
        </w:rPr>
        <w:t>ţ</w:t>
      </w:r>
      <w:r w:rsidRPr="003A451B">
        <w:rPr>
          <w:rFonts w:ascii="Times New Roman" w:hAnsi="Times New Roman"/>
          <w:sz w:val="24"/>
          <w:szCs w:val="24"/>
        </w:rPr>
        <w:t xml:space="preserve">ia de impozite </w:t>
      </w:r>
      <w:r w:rsidR="00F23D6B" w:rsidRPr="003A451B">
        <w:rPr>
          <w:rFonts w:ascii="Times New Roman" w:hAnsi="Times New Roman"/>
          <w:sz w:val="24"/>
          <w:szCs w:val="24"/>
        </w:rPr>
        <w:t>ş</w:t>
      </w:r>
      <w:r w:rsidRPr="003A451B">
        <w:rPr>
          <w:rFonts w:ascii="Times New Roman" w:hAnsi="Times New Roman"/>
          <w:sz w:val="24"/>
          <w:szCs w:val="24"/>
        </w:rPr>
        <w:t>i taxe locale astfel incât să se cunoască la sfârsitul zilei bancare soldu</w:t>
      </w:r>
      <w:r w:rsidR="0076412D" w:rsidRPr="003A451B">
        <w:rPr>
          <w:rFonts w:ascii="Times New Roman" w:hAnsi="Times New Roman"/>
          <w:sz w:val="24"/>
          <w:szCs w:val="24"/>
        </w:rPr>
        <w:t>rile aferente fiec</w:t>
      </w:r>
      <w:r w:rsidR="00F23D6B" w:rsidRPr="003A451B">
        <w:rPr>
          <w:rFonts w:ascii="Times New Roman" w:hAnsi="Times New Roman"/>
          <w:sz w:val="24"/>
          <w:szCs w:val="24"/>
        </w:rPr>
        <w:t>ă</w:t>
      </w:r>
      <w:r w:rsidR="0076412D" w:rsidRPr="003A451B">
        <w:rPr>
          <w:rFonts w:ascii="Times New Roman" w:hAnsi="Times New Roman"/>
          <w:sz w:val="24"/>
          <w:szCs w:val="24"/>
        </w:rPr>
        <w:t xml:space="preserve">rui tip de impozit şi taxă, sume </w:t>
      </w:r>
      <w:r w:rsidRPr="003A451B">
        <w:rPr>
          <w:rFonts w:ascii="Times New Roman" w:hAnsi="Times New Roman"/>
          <w:sz w:val="24"/>
          <w:szCs w:val="24"/>
        </w:rPr>
        <w:t>ce urmează să fie transferat</w:t>
      </w:r>
      <w:r w:rsidR="0076412D" w:rsidRPr="003A451B">
        <w:rPr>
          <w:rFonts w:ascii="Times New Roman" w:hAnsi="Times New Roman"/>
          <w:sz w:val="24"/>
          <w:szCs w:val="24"/>
        </w:rPr>
        <w:t>e</w:t>
      </w:r>
      <w:r w:rsidRPr="003A451B">
        <w:rPr>
          <w:rFonts w:ascii="Times New Roman" w:hAnsi="Times New Roman"/>
          <w:sz w:val="24"/>
          <w:szCs w:val="24"/>
        </w:rPr>
        <w:t xml:space="preserve"> de </w:t>
      </w:r>
      <w:r w:rsidR="00F23D6B" w:rsidRPr="003A451B">
        <w:rPr>
          <w:rFonts w:ascii="Times New Roman" w:hAnsi="Times New Roman"/>
          <w:sz w:val="24"/>
          <w:szCs w:val="24"/>
        </w:rPr>
        <w:t>P</w:t>
      </w:r>
      <w:r w:rsidRPr="003A451B">
        <w:rPr>
          <w:rFonts w:ascii="Times New Roman" w:hAnsi="Times New Roman"/>
          <w:sz w:val="24"/>
          <w:szCs w:val="24"/>
        </w:rPr>
        <w:t>restator in conturile IBAN</w:t>
      </w:r>
      <w:r w:rsidR="0076412D" w:rsidRPr="003A451B">
        <w:rPr>
          <w:rFonts w:ascii="Times New Roman" w:hAnsi="Times New Roman"/>
          <w:sz w:val="24"/>
          <w:szCs w:val="24"/>
        </w:rPr>
        <w:t xml:space="preserve"> deschise la </w:t>
      </w:r>
      <w:r w:rsidR="0076412D" w:rsidRPr="003A451B">
        <w:rPr>
          <w:rFonts w:ascii="Times New Roman" w:hAnsi="Times New Roman"/>
          <w:sz w:val="24"/>
          <w:szCs w:val="24"/>
          <w:lang w:val="it-IT"/>
        </w:rPr>
        <w:t>Trezoreria Statului Sector 2.</w:t>
      </w:r>
    </w:p>
    <w:p w:rsidR="002E33E0" w:rsidRPr="003A451B" w:rsidRDefault="002E33E0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A451B">
        <w:rPr>
          <w:rFonts w:ascii="Times New Roman" w:hAnsi="Times New Roman"/>
          <w:b/>
          <w:sz w:val="24"/>
          <w:szCs w:val="24"/>
        </w:rPr>
        <w:t>Pentru sumele incasate prin intermediul serviciului SNEP</w:t>
      </w:r>
      <w:r w:rsidRPr="003A451B">
        <w:rPr>
          <w:rFonts w:ascii="Times New Roman" w:hAnsi="Times New Roman"/>
          <w:sz w:val="24"/>
          <w:szCs w:val="24"/>
        </w:rPr>
        <w:t xml:space="preserve"> </w:t>
      </w:r>
      <w:r w:rsidR="00F23D6B" w:rsidRPr="003A451B">
        <w:rPr>
          <w:rFonts w:ascii="Times New Roman" w:hAnsi="Times New Roman"/>
          <w:sz w:val="24"/>
          <w:szCs w:val="24"/>
        </w:rPr>
        <w:t>transferul fiecarei sume incasate se va efectua in contul</w:t>
      </w:r>
      <w:r w:rsidRPr="003A451B">
        <w:rPr>
          <w:rFonts w:ascii="Times New Roman" w:hAnsi="Times New Roman"/>
          <w:sz w:val="24"/>
          <w:szCs w:val="24"/>
        </w:rPr>
        <w:t xml:space="preserve"> IBAN : </w:t>
      </w:r>
      <w:r w:rsidRPr="003A451B">
        <w:rPr>
          <w:rFonts w:ascii="Times New Roman" w:hAnsi="Times New Roman"/>
          <w:color w:val="000000"/>
          <w:sz w:val="24"/>
          <w:szCs w:val="24"/>
        </w:rPr>
        <w:t>RO86TREZ7025012XXX013274.</w:t>
      </w:r>
    </w:p>
    <w:p w:rsidR="00C23ACA" w:rsidRPr="003A451B" w:rsidRDefault="00C23ACA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 xml:space="preserve">Daca certificarea EMV cade in sarcina Bancii atunci sa se prezinte documente care sa mentioneze certificarea echipamentelor de tip POS integrate in chioscuri. </w:t>
      </w:r>
    </w:p>
    <w:p w:rsidR="00C23ACA" w:rsidRPr="003A451B" w:rsidRDefault="003A451B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Certificarea pentru aplicatia software a terminalelor POS neasistate corelata ulterior cu dezvoltarea relației dintre banca castigatoare si societatea ce va asigura mentenata infokioscurilor</w:t>
      </w:r>
    </w:p>
    <w:p w:rsidR="00C23ACA" w:rsidRPr="003A451B" w:rsidRDefault="0013282C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3A451B">
        <w:rPr>
          <w:rFonts w:ascii="Times New Roman" w:hAnsi="Times New Roman"/>
          <w:sz w:val="24"/>
          <w:szCs w:val="24"/>
          <w:lang w:val="it-IT"/>
        </w:rPr>
        <w:t>Chitantele emise la terminalele POS de tip nesistat (infokiosk) necesita consumabile.</w:t>
      </w:r>
    </w:p>
    <w:p w:rsidR="00EC7ED4" w:rsidRPr="003A451B" w:rsidRDefault="008C0C01" w:rsidP="003A451B">
      <w:pPr>
        <w:pStyle w:val="ListParagraph"/>
        <w:numPr>
          <w:ilvl w:val="0"/>
          <w:numId w:val="2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  <w:r w:rsidRPr="003A451B">
        <w:rPr>
          <w:rFonts w:ascii="Times New Roman" w:hAnsi="Times New Roman"/>
          <w:sz w:val="24"/>
          <w:szCs w:val="24"/>
        </w:rPr>
        <w:t>Autoritatea Contractanta accepta o singura factura pentru comisionul lunar defalcata pentru fiecare serviciu in parte, precum si o singura situatie centralizatoare in care sa se evidentieze comisionul facturat pentru fiecare serviciu.</w:t>
      </w:r>
    </w:p>
    <w:p w:rsidR="003A451B" w:rsidRDefault="003A451B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3A451B" w:rsidRDefault="003A451B" w:rsidP="003A451B">
      <w:pPr>
        <w:tabs>
          <w:tab w:val="left" w:pos="0"/>
        </w:tabs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val="it-IT"/>
        </w:rPr>
      </w:pPr>
    </w:p>
    <w:p w:rsidR="003A451B" w:rsidRPr="003A451B" w:rsidRDefault="003A451B" w:rsidP="003A451B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A451B">
        <w:rPr>
          <w:rFonts w:ascii="Times New Roman" w:hAnsi="Times New Roman"/>
          <w:b/>
          <w:sz w:val="24"/>
          <w:szCs w:val="24"/>
          <w:lang w:val="it-IT"/>
        </w:rPr>
        <w:t>Șef Serviciu Achiziții Publice Administrativ,</w:t>
      </w:r>
    </w:p>
    <w:p w:rsidR="003A451B" w:rsidRPr="003A451B" w:rsidRDefault="003A451B" w:rsidP="003A451B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3A451B">
        <w:rPr>
          <w:rFonts w:ascii="Times New Roman" w:hAnsi="Times New Roman"/>
          <w:b/>
          <w:sz w:val="24"/>
          <w:szCs w:val="24"/>
          <w:lang w:val="it-IT"/>
        </w:rPr>
        <w:t>Lucian Mitroiu</w:t>
      </w:r>
    </w:p>
    <w:sectPr w:rsidR="003A451B" w:rsidRPr="003A451B" w:rsidSect="003A451B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85927"/>
    <w:multiLevelType w:val="hybridMultilevel"/>
    <w:tmpl w:val="C2801DE0"/>
    <w:lvl w:ilvl="0" w:tplc="074A184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765A01"/>
    <w:multiLevelType w:val="hybridMultilevel"/>
    <w:tmpl w:val="443E4C58"/>
    <w:lvl w:ilvl="0" w:tplc="6E2294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E0"/>
    <w:rsid w:val="0013282C"/>
    <w:rsid w:val="001B48F2"/>
    <w:rsid w:val="002E33E0"/>
    <w:rsid w:val="003A451B"/>
    <w:rsid w:val="005D12C0"/>
    <w:rsid w:val="0076412D"/>
    <w:rsid w:val="008C0C01"/>
    <w:rsid w:val="00A8052C"/>
    <w:rsid w:val="00AD73C5"/>
    <w:rsid w:val="00AF7A28"/>
    <w:rsid w:val="00C23ACA"/>
    <w:rsid w:val="00EC7ED4"/>
    <w:rsid w:val="00F23D6B"/>
    <w:rsid w:val="00F91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E0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1B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3E0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51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51B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Luc</cp:lastModifiedBy>
  <cp:revision>4</cp:revision>
  <cp:lastPrinted>2016-05-23T11:03:00Z</cp:lastPrinted>
  <dcterms:created xsi:type="dcterms:W3CDTF">2016-05-23T12:08:00Z</dcterms:created>
  <dcterms:modified xsi:type="dcterms:W3CDTF">2016-05-23T13:20:00Z</dcterms:modified>
</cp:coreProperties>
</file>